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5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Кабинета Министров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66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20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№ 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P33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Стандарт качества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 xml:space="preserve">программ подготовки научных и научно-педагогических кадров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аспирантуре (адъюнктуре)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numPr>
          <w:ilvl w:val="0"/>
          <w:numId w:val="5"/>
        </w:numPr>
        <w:ind w:left="0" w:right="0" w:hanging="196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  <w:t xml:space="preserve">Категории (в том числе льготные) получателей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0" w:right="0" w:firstLine="0"/>
        <w:jc w:val="center"/>
        <w:spacing w:after="0" w:line="240" w:lineRule="auto"/>
        <w:widowControl w:val="off"/>
        <w:tabs>
          <w:tab w:val="left" w:pos="2127" w:leader="none"/>
        </w:tabs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  <w:t xml:space="preserve">государственной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Получателями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«Реализация </w:t>
      </w:r>
      <w:r>
        <w:rPr>
          <w:rFonts w:ascii="Times New Roman" w:hAnsi="Times New Roman" w:cs="Times New Roman"/>
          <w:sz w:val="28"/>
          <w:szCs w:val="28"/>
        </w:rPr>
        <w:t xml:space="preserve">программ подготовки научных и научно-педагогических кадров в аспирантуре (адъюнктуре)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 (далее – государственная услуга)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являются лица,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образование не ниже высшего образования (специалитет или магистратура) (далее – гражданин, получатель государственной услуги)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/>
          <w:sz w:val="28"/>
          <w:szCs w:val="28"/>
        </w:rPr>
        <w:t xml:space="preserve">. Правовые основания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Theme="minorHAnsi"/>
          <w:sz w:val="28"/>
          <w:szCs w:val="28"/>
        </w:rPr>
      </w:pPr>
      <w:r>
        <w:rPr>
          <w:rFonts w:ascii="Times New Roman" w:hAnsi="Times New Roman" w:eastAsiaTheme="minorHAnsi"/>
          <w:sz w:val="28"/>
          <w:szCs w:val="28"/>
        </w:rPr>
        <w:t xml:space="preserve">2.1.</w:t>
      </w:r>
      <w:r>
        <w:rPr>
          <w:rFonts w:ascii="Times New Roman" w:hAnsi="Times New Roman" w:eastAsiaTheme="minorHAnsi"/>
          <w:sz w:val="28"/>
          <w:szCs w:val="28"/>
        </w:rPr>
        <w:t xml:space="preserve"> </w:t>
      </w:r>
      <w:r>
        <w:rPr>
          <w:rFonts w:ascii="Times New Roman" w:hAnsi="Times New Roman" w:eastAsiaTheme="minorHAnsi"/>
          <w:sz w:val="28"/>
          <w:szCs w:val="28"/>
        </w:rPr>
        <w:t xml:space="preserve">Государственная услуга предоставляется в соответствии со следующими законодательными и иными нормативными правовыми актами:</w:t>
      </w:r>
      <w:r>
        <w:rPr>
          <w:rFonts w:ascii="Times New Roman" w:hAnsi="Times New Roman" w:eastAsiaTheme="minorHAnsi"/>
          <w:sz w:val="28"/>
          <w:szCs w:val="28"/>
        </w:rPr>
      </w:r>
      <w:r>
        <w:rPr>
          <w:rFonts w:ascii="Times New Roman" w:hAnsi="Times New Roman" w:eastAsiaTheme="minorHAnsi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/>
      <w:hyperlink r:id="rId11" w:tooltip="consultantplus://offline/ref=DEE7102FDBEFEF8DD62882B517E893604B51F79CB393FEA70D6A5FTAKBF" w:history="1">
        <w:r>
          <w:rPr>
            <w:rFonts w:ascii="Times New Roman" w:hAnsi="Times New Roman"/>
            <w:sz w:val="28"/>
            <w:szCs w:val="28"/>
          </w:rPr>
          <w:t xml:space="preserve">Конституция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Трудовой кодекс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 Российской Федерации от 7 февраля 1992 года № 2300-1 «О защите прав потребителей»;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Федеральный закон от 2 мая 2006 года № 59-ФЗ «О порядке рассмотрения об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ращений граждан Российской Федерации»;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Федеральный закон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остановление Правительства Российской Федерации от 18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      № 1490 «О лицензировании образовательной деятельности»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20 октября 2021 г.            № 1802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оложений некоторых актов Правительства Российской Федерации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Правительства Российской Федерации от 19 мая 2023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               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797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Положения о государственной аккредитации образовательной деятельности и о признании утратившим силу постановления Правительства Российской Федерации от 14 января 2022 г. № 3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Главного государственного санитарного врача Российской Федерации от 28 сентября 2020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28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санитарных правил СП 2.4.3648-20 «Санитарно-эпидемиологические требования к организациям вос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питания и обучения, отдыха и оздоровления детей и молодежи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 от 12 сен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-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тября 2013 г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 1061 «Об утверждении перечней специальностей и направлений подготовки высшего образования»;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образования и науки Российской Федерации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br/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от 22 июля 2021 г. № 645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образцов и описания документов о высшем образовании и о квалификации и приложений к ним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»;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/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приказ Министерства науки и высшего образования Российской Федерации 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6 августа 2021 года № 721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«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 утверждении Порядка приема на обучение по образовательным программам высшего образования - программам подготовки научных и научно-педагогических кадров в аспирантуре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»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(далее – Порядок)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Конституция Республики Татарстан;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Закон Республики Т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атарстан от 22 июля 2013 года №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68-ЗРТ «Об образовании»;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№ 445 «О стандартах качества государственных услуг, оказываемых государственными учреждениями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постановление Кабинета Министров Республики Татарстан от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30.06.2009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№ 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 Республики Татарстан»;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устав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 организации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локальные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нормативные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акты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образовательной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 организации,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содержащие нормы, регулирующие образовательные отношения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иные нормативные правовые акты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1" w:name="sub_103"/>
      <w:r>
        <w:rPr>
          <w:rFonts w:ascii="Times New Roman" w:hAnsi="Times New Roman" w:eastAsia="Times New Roman"/>
          <w:b/>
          <w:bCs/>
          <w:color w:val="26282f"/>
          <w:sz w:val="28"/>
          <w:szCs w:val="28"/>
          <w:lang w:eastAsia="ru-RU"/>
        </w:rPr>
        <w:t xml:space="preserve">III.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получения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bookmarkEnd w:id="1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" w:name="sub_103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3.1. При подаче заявления (на русском языке) 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приеме в образовательную организацию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высшего образования, научную организацию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поступающий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предъявляет следующие документы:</w:t>
      </w:r>
      <w:bookmarkEnd w:id="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tbl>
      <w:tblPr>
        <w:tblW w:w="10206" w:type="dxa"/>
        <w:tblInd w:w="-5" w:type="dxa"/>
        <w:tblBorders>
          <w:top w:val="single" w:color="auto" w:sz="4" w:space="0"/>
          <w:left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4372"/>
        <w:gridCol w:w="3118"/>
        <w:gridCol w:w="2126"/>
      </w:tblGrid>
      <w:tr>
        <w:tblPrEx/>
        <w:trPr/>
        <w:tc>
          <w:tcPr>
            <w:tcW w:w="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ind w:left="-57" w:right="-5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43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Перечень документов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Организация, осуществляющая выдачу документа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Срок действия документа со дня его выдачи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20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0"/>
        <w:gridCol w:w="10"/>
        <w:gridCol w:w="4362"/>
        <w:gridCol w:w="3118"/>
        <w:gridCol w:w="2126"/>
      </w:tblGrid>
      <w:tr>
        <w:tblPrEx/>
        <w:trPr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102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граждан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0" w:type="dxa"/>
            <w:textDirection w:val="lrTb"/>
            <w:noWrap w:val="false"/>
          </w:tcPr>
          <w:p>
            <w:pPr>
              <w:jc w:val="center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72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прием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е в образовательную организацию, научную организацию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jc w:val="center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2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кумент, удостоверяющий личность, гражданство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территориальные орг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аны Министерства внутренних дел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Российской Федерации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jc w:val="center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2" w:type="dxa"/>
            <w:textDirection w:val="lrTb"/>
            <w:noWrap w:val="false"/>
          </w:tcPr>
          <w:p>
            <w:pPr>
              <w:jc w:val="both"/>
              <w:spacing w:after="0" w:line="23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об образовании образца, устанавливаемого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высшего образования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ная организация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2" w:type="dxa"/>
            <w:vMerge w:val="restart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 необходимости создания специальных условий при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проведении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вступительных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испытаний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– документ, подтверждающий ограниченные возможности здоровья или инвалидность, требующие создания указанных условий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учреждения медико-социальной экспертизы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1"/>
        </w:trPr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jc w:val="center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2" w:type="dxa"/>
            <w:textDirection w:val="lrTb"/>
            <w:noWrap w:val="false"/>
          </w:tcPr>
          <w:p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Согласие на обработку персональных данных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28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 соответствии с законодательством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102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Для иностранных граждан, лиц без гражданства, в том числе соотечественников, проживающих за рубежом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Заявление (на русском языке) о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прием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е в образовательную организацию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образовательная организация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jc w:val="left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2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Документ, удостоверяющий лич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-ность, гражданство иностранного гражданина или лица без гражданства 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уполномоченный орган иностранного государ-ства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2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Документ иностранного государства 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 образовании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(оригинал или нотариально заверенная копия)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выдается иностранным государством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бессрочно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/>
      <w:bookmarkStart w:id="3" w:name="sub_104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IV. Требования к порядку и условиям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bookmarkEnd w:id="3"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4" w:name="sub_104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4.1. Государственная услуга предоставляется в целях:</w:t>
      </w:r>
      <w:bookmarkEnd w:id="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личности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интеллектуальном, культурном и нравственном развитии посредством получения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удовлетворения потребностей общества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государства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квалифицированных специалистах с высшим образованием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формирования у получателей государственной услуги гражданской позиции и трудолюбия, развития ответственности, самостоятельности и творческой активности;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накопления, сохранения и приумножения нравственных, культурных и научных ценностей общества;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распространения знаний среди населения, повышения его образо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вательного и культурного уровня;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подготовки граждан к проведению научных исследований, обучения их современной методологии и методике научного познания;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подготовки граждан для самостоятельной деятельности, требующей широкого образования в соответствующем направлении и углубленной профессиональной специализации;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владения навыками научно-исследовательской и научно-педагогической работы.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5" w:name="sub_104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4.2. Государственная услуга предоставляется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</w:t>
      </w:r>
      <w:bookmarkEnd w:id="5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высшего образования и (или) научных организациях (далее – образовательная организация)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</w:rPr>
      </w:pPr>
      <w:r>
        <w:rPr>
          <w:sz w:val="28"/>
          <w:szCs w:val="28"/>
        </w:rPr>
      </w:r>
      <w:bookmarkStart w:id="6" w:name="sub_104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4.3. Предоставление государственной услуги 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соответствии с перечнем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направлений подготовки высшего образования - подготовки кадров высшей квалификации по программам подготовки научно-педагогических кадров в аспирантуре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утверждаемым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(далее -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 аспирантуры (адъюнктуры)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).</w:t>
      </w:r>
      <w:r>
        <w:rPr>
          <w:sz w:val="28"/>
          <w:szCs w:val="28"/>
        </w:rPr>
      </w:r>
      <w:bookmarkEnd w:id="6"/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4.4. Порядок приема в образовательные организации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образования. Правила приема определяются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учредителем в соответствии с законодательством Российской Федерации и закрепляются в уставе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4.5.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самостоятельно разрабатывает и утверждает ежегодные правила приема, определяющие их особенности на соответствующий год, не противоречащие законодательству Российской Федерации, порядку приема, устанавливаемому федеральным органом ис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и правилам приема, определяемым учредителем и закрепленным в уставе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4.6. Прием граждан в образовательные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осущест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вляется на конкурсной основе по заявлениям граждан. Условиями конкурса должны быть гарантированы соблюдение прав граждан на образование и зачисление граждан, наиболее способных и подготовленных к освоению образовательной программы соответствующего уровня.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Прием на обучение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программам аспирантуры (адъюнктуры)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проводится по результатам вступительных испытаний, установление перечня и проведение которых осуществляется образовательной организацией самостоятельно.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 аспирантуры (адъюнктуры)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обучающимися может осваиваться в различных формах с учетом потребностей, возможностей личности и в зависимости от объема обязательных занятий педагогического работника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обучающимися: очной, очно-заочной, заочной формах. Допускается сочетание различных форм получения высшего образования.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Организация образовательного процесса в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осуществляется в соответствии с образовательными программами высшего образования и расписанием учебных занятий для кажд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направления подготовки и формы получения образования.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бразовательная программа обеспе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чивает реализацию федерального государственного образовательного стандарта с учетом вида образовательной организации, образовательных потребностей и запросов обучающихся и включает в себя учебный план, рабочие программы учебных курсов, предметов, дисциплин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(модулей) и другие материалы, обеспечивающие качество подготовки обучающихся, а также программы учебной и производственной практики, календарный учебный график и методические материалы, обеспечивающие реализацию соответствующей образовательной технологии.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4.9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Срок получения образования по программе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аспирантуры (адъюнктуры)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определяется в соответствии с федеральными государственными образовательными стандартами высшего образования по соответствующим направлениям подготовки.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образования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аспирантуры (адъюнктуры)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рассматривается как получение второго высшего образования – лицами,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имеющими диплом об окончании аспирантуры (адъюнктуры), свидетельство об окончании аспирантуры (адъюнктуры) или диплом кандидата наук.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0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учебный год для обучающихся очной и очно-заочной формы обучения начинается, как правило, 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 сентября и заканчивается согласно рабочему уче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бному плану по конкретным специальности и (или)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направле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нию подготовки. В случае, если 1 сентября является выходным нерабочим днем, учебный год начинается со следующего за выходным рабочего дня. Сроки начала и окончания учебного года для обучающихся заочной формы обучения устанавливаются учебным планом.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  <w:t xml:space="preserve">Обучающимся выдается студенческий билет и зачетная книжка. Формы студенческого билета и зачетной книжки устанавливаются федеральным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  <w:t xml:space="preserve">и реализации </w:t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  <w:t xml:space="preserve">государственной политики и нормативно-правовому регулированию в сфере </w:t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  <w:t xml:space="preserve">высшего </w:t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  <w:t xml:space="preserve">образования.</w:t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4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12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При получении государственной услуги обучающиеся имеют право пользоваться библиотеками, информационными ресурсами, услугами учебных, социально-бытовых, лечебных и других подразделений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научной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порядке, установленном её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13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Обучающимся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очной форме обучения и получающим образование за счет средств бюджета Республики Татарстан в установленном порядке выплачивается государственная академическая и государственная социальная стипендии.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14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Получатели государственной услуги, нуждающиеся в жилой площади, обеспечиваются местами в общежитии при наличии соответствующего жилищного фонда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 процессе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выполняются следующие мероприятия: лекции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практические занятия, семинары, лабораторные работы, контрольные работы, коллоквиумы, консультации, самостоятельные работы, научно-исследовательские работы, курсовые проектирования (курсовые работы), а также могут проводиться другие виды учебных занятий.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самостоятельна в выборе системы оценок, формы, порядка и периодичности промежуточной аттестации обучающихся. Положение о текущем контроле знаний и промежуточной аттестации обучающихся утверждается образовательной организацией.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оценивает качество освоения образовательных программ путем осуществления текущего контроля успеваемости, промежуточной аттестации обучающихся и итоговой аттестации выпускников.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Итоговая аттестация выпускника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является обязательной и осуществляется после освоения образовательной программы в полном объеме.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Выпускник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считается завершившим обучение на основании приказа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 его отчислении в связи с полным освоением образовательной программы и прохождением государственной итоговой аттестации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виде защиты научной диссертации на соискание ученой степени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4.1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Лицам, успешно прошедшим итоговую аттестацию по программам аспирантуры (адъюнктуры), выдается заключение о соответствии диссертации на соискание ученой степени кандидата наук критериям, установленным в соо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тветствии с Федеральным законом от 23 августа 1996 года № 127-ФЗ «О науке и государственной научно-технической политике» (далее – заключение), и свидетельство об окончании аспирантуры (адъюнктуры).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V. Требования к материально-техническому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8" w:name="sub_105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5.1.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обеспечивает содержание закрепленных за ней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 (или) принадлежащих ей на праве собственности зданий, сооружений, имущества, оборудования и другого имущества потребительского, социального, культурного и иного назначения.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9" w:name="sub_1052"/>
      <w:r/>
      <w:bookmarkEnd w:id="8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5.2.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должна располагать материально-технической базой, обеспечивающей реализацию государственных требований и соответствующей действующим санитарно-техническим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0" w:name="sub_1053"/>
      <w:r/>
      <w:bookmarkEnd w:id="9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5.3. Размеры площадей основных и дополнительных помещений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приним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аются в соответствии с требованиями санитарных и строительных норм и правил в зависимости от реализуемых образовательных программ, единовременной вместимости, технологии процесса обучения, инженерно-технического оборудования, оснащения необходимой мебелью.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1" w:name="sub_1054"/>
      <w:r/>
      <w:bookmarkEnd w:id="10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5.4. </w:t>
      </w:r>
      <w:bookmarkStart w:id="12" w:name="sub_1055"/>
      <w:r/>
      <w:bookmarkEnd w:id="1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должна быть оснащена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оборудованием, аппаратурой и приборами, отвечающими требованиям санитарно-эпидемиологических правил и норм, стандартов, технических условий, других нормативных документов.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5.5.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создает учебные кабинеты и лаборатории, учебные и учебно-производственные мастерские в соответствии с реализуемыми образовательными программами высшего образования.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может иметь в качестве структурного подразделения филиалы, общежития, учебно-производственные хозяйства, учебные полигоны, помещения для за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нятия физкультурой и спортом, библиотеку, помещения для питания обучающихся (буфет, столовая), медицинский пункт и другие структурные подразделения.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5.6. Учебная и производственная практика, предусмотренная федеральными государственными образовательными стандартами высшего образования, осуществляется на основе договоров между образовательной организацией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пр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едприятиями, учреждениями, организациями, в соответствии с которыми указанные предприятия, учреждения, организации независимо от их организационно-правовых форм обязаны предоставлять места для прохождения практики обучающимися образовательной организации,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имеющей государственную аккредитацию.</w:t>
      </w:r>
      <w:bookmarkEnd w:id="1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VI. Требования к безопасности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3" w:name="sub_106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6.1. Образовательные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должны быть зарегистрированы в качестве юридического лица в установленном законодательством порядке и иметь:</w:t>
      </w:r>
      <w:bookmarkEnd w:id="13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государственной аккредитации;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постановке на учет юридического лица в налоговом органе по месту нахождения на территории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свидетельство о внесении записи в Единый государственный реестр юридических лиц;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лицензии на реализуемые образовательные программы.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4" w:name="sub_106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6.2. Помещения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должны соответствовать:</w:t>
      </w:r>
      <w:bookmarkEnd w:id="14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требованиям, предусмотренным Федеральным законом от 22 июля 2008 года № 123-ФЗ «Технический регламент о требованиях пожарной безопасности»;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санитарно-эпидемиологическим нормам.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5" w:name="sub_1063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6.3. 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состоянии.</w:t>
      </w:r>
      <w:bookmarkEnd w:id="1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  <w:t xml:space="preserve">Неисправное специальное оборудование, приборы и аппаратура должны быть заменены, отремонтированы (если они подлежат ремонту) или изъяты из эксплуатации.</w:t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/>
      <w:bookmarkStart w:id="16" w:name="sub_106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6.4.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несет ответственность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установленном законодательством Российской Федерации порядке за невыполнение или ненадлежащее выполнение функций, отнесенных к ее компетенции, за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а также за жизнь и здоровье работников образовательной ор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ганизации. За нарушение или незаконное ограничение прав на образование и предусмотренных законодательством об образовании прав и свобод обучающихся, нарушение требований к организации и осуществлению образовательной деятельности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ее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  <w:bookmarkEnd w:id="16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VII. Требования, обеспечивающие доступность государственной услуги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/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7" w:name="sub_1072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7.1. Объем и структура приема получателей государственной услуги в образовательн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определяются в государственном задании в порядке, установленном Кабинетом Министров Республики Татарстан.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7.2. Расписание занятий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 целях создания наиболее благоприятного режима труда и отдыха составляется с учетом возрастных особенностей обучающихся и установленных санитарно-гигиенических норм, при этом начало занятий в образовательных организациях,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научных организациях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должно быть не ранее 8.00, а их окончание – не позднее 20.00.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7.3.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образовательных организациях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создаются условия для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государственной услуги лицам с ограниченными возможностями здоровья, в том числе инвалидам, путем обеспечения доступности объектов и услуг в соответствии с требованиями, установленными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законодательством Российской Федерации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bookmarkEnd w:id="1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VIII. Требования к уровню кадрового обеспечения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предоставления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8" w:name="sub_108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8.1.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должна быть укомплектована квалифицированными специалистами в соответствии со штатным расписанием 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количеством укомплектованных учебных групп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Порядок комплектования персонала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регламентируется 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уставом.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19" w:name="sub_1082"/>
      <w:r/>
      <w:bookmarkEnd w:id="18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8.2. Право на занятие педагогической деятельностью имеют лица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высшим образованием и отвечающие квалификационным требованиям, указанным в квалификационных справочниках, и (или) профессиональным стандартам.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0" w:name="sub_1083"/>
      <w:r/>
      <w:bookmarkEnd w:id="19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 педагогической деятельности в образовательной организации не допускаются лица: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лишенные права заниматься педагогической деятельностью в соответствии с вступившим в законную силу приговором суда;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или имевшие судимость, подвергавшиеся уголовному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преследова-нию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(за исключением лиц, уголовное преследование в отношении которых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прекра-щено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условиях, и клеветы), половой неприкосновенности и половой свободы лично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против семьи и несовершеннолетних, здоровья населения и общественной нрав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ственности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основ конституционного строя и безопасности государства, мира и безопасности человечества, а также против общественной безопасности, за исключением случаев, предусмотренных частью третьей статьи 331 Трудового кодекса Российской Федерации;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неснятую или непогашенную судимость за иные умышленные тяжкие и особо тяжкие преступления, не указанные в абзаце третьем настоящего пункта;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признанные недееспособными в установленном федеральным законом порядке;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имеющие статус иностранного агента;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имеющие заболевания, предусмотренные перечнем, утверждаемым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федераль-ным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органом исполнительной власти, осуществляющим функции по выработке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госу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дарственной политики и нормативно-правовому регулированию в области здраво-охранения.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Лица из числа указанных в абзаце третьем настоящего пункта, имевшие суди-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мость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за совершение преступлений небольшой тяжести и преступлений средней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-жести против жизни и здоровья, свободы, чести и достоинства личности (за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исклю-чением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незаконной госпитализации в медицинскую организацию, оказывающую пси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хиатрическую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тив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общественной безопасности, и лица, уголовное преследование в отношении ко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торых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по обвинению в совершении этих преступлений прекращено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нереабилитирующим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основаниям, могут быть допущены к педагогической деятельности при наличии решения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Республиканской 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омиссии по делам несовершеннолетних и защите их прав о допуске их к педагогической деятельности.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8.3. Работники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обязаны соблюдать устав, правила внутреннего распорядка, строго следовать профессиональной этике, качественно выполнять возложенные на них функциональные обязанности.</w:t>
      </w:r>
      <w:bookmarkEnd w:id="20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Педагогические работники обязаны обеспечивать высокую эффективность образовательного процесса, систематически заниматься повышением своей квалификации.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1" w:name="sub_108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8.4. Педагогические работники имеют право выбирать методы и средства обучения, обеспечивающие высокое качество образовательного процесса.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2" w:name="sub_1085"/>
      <w:r/>
      <w:bookmarkEnd w:id="2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8.5. Дополнительное профессиональное образование педагогических ра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ботников организуется не реже одного раза в три года путем обучения и (или) стажировки в организациях дополнительного профессионального образования, в образовательных организациях и иных организациях в соответствии с законодательством Российской Федерации.</w:t>
      </w:r>
      <w:bookmarkEnd w:id="22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IX.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Требования к информационному обеспечению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получателей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4" w:name="sub_109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9.1. Информация о государственной услуге 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должна соответствовать требованиям Закона Российской Федерации от 7 февраля 1992 года № 2300-1 «О защите прав потребителей».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5" w:name="sub_1092"/>
      <w:r/>
      <w:bookmarkEnd w:id="24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9.2. С целью ознакомления получателя государственной услуги и его родителей (законных представителей) с уставом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лицензией на право ведения образовательной деятельности, со свидетельством о государственной аккредитации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образовательным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программам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высшего образования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реализуемым образовательной организацией,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другими документами, регламентирующими организацию образовательного процесса и работу приемной комиссии,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обязана разместить указанные документы на своем официальном сайте в информационно-телекоммуникационной сети «Интернет» (далее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официальный сайт), а также обеспечить свободный доступ в здание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 информации, размещенной на информационном стенде (табло) приемной комиссии и (или) в электронной информационной системе (далее вместе - информационный стенд).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9.3. В целях информирования о приеме на обучен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ие образовательной организацией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официальном сайте и на информационном стенде приемной комиссии размещаются: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не позднее 20 января года приема на обучение: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а) правила приема на обучение, утвержденные образовательной организацией самостоятельно, в том числе: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сроки проведения приема на обучение (за исключением сроков, указанных в подпункте «б» подпункта 2 настоящего пункта);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особенности проведения вступительных испытаний для инвалидов;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порядок подачи и рассмотрения апелляций по результатам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перечень индивидуальных достижений поступающих, учитываемых при приеме на обучение, и порядок учета указанных достижений;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б) количество мест для приема на обучение по различным условиям поступления в рамках контрольных цифр приема;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в) перечень вступительных испытаний с указанием по каждому вступительному испытанию следующих сведений: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вступительного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максимальное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минимальное количество баллов;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приоритетность вступительного испытания при ранжировании списков поступающих;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форма проведения вступительного испытания, языки, на которых осуществляется сдача вступительного испытания, программа вступительного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проведении вступительного испытания очно и (или) с использованием дистанционных технологий;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информация о местах приема заявлений о приеме на обучение и прилагаемых к ним документов (далее соответственно - прием документов; документы, необходимые для поступления), о почтовых адресах для направления документов, необходимых для поступления, об эле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ктронных адресах для направления документов, необходимых для поступления, в электронной форме (если организация осуществляет прием документов в электронной форме посредством электронной почты);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информация о возможности подачи документов, необходимых для поступления, посредством федеральной государственной информационной системы «Единый портал государственных и муниципальных услуг (функций)» (далее - ЕПГУ) (в случае установления возможности испо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льзования ЕПГУ при приеме на обучение);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е) образец договора об оказании платных образовательных услуг (при объявлении приема на места по договорам об оказании платных образовательных услуг);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ж) информация о наличии общежития(ий);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не позднее 10 апреля года приема на обучение: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а) количество мест для приема на обучение в рамках контрольных цифр по различным условиям поступления;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) сроки зачисления (сроки размещения ранжированных списков поступающих на официальном сайте, завершения приема оригинала документа установленного образца или согласия на зачисление в соответствии с пунктом 47 Порядка), издания приказа (приказов) о зачислен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ии);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в) информация о количестве мест в общежитиях для иногородних обучающихся;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3) не позднее чем за 2 месяца до начала приема документов на места по договорам об оказании платных образовательных услуг - количество указанных мест;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4) не позднее чем за 14 календарных дней до начала вступительных испытаний - расписание вступительных испытаний.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Образовательная организация обеспечивает доступность указанной информации для пользователей официального сайта в период с даты ее размещения до дня завершения приема на обучение включительно.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Помимо официального сайта образовательная организация может размещать указанную информацию в свободном доступе иными способами, определяемыми организацией.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9.4.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Нач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иная со дня начала приема документов, необходимых для поступления, на официальном сайте и на информационном стенде размещается и ежедневно обновляется информация о количестве поданных заявлений о приеме и списки лиц, подавших документы, необходимые для пос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тупления, на основные места в рамках контрольных цифр приема, на места по договорам об оказании платных образовательных услуг. При этом указываются сведения о приеме или об отказе в приеме документов (с указанием причин отказа).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Информация об образовательной организации,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её государс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твенной регистрации, наименовании зарегистрировавшего её органа, объеме государственного задания на очередной финансовый год должна быть размещена на интернет-сайте органа исполнительной власти, выдавшего государственное задание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Образовательная организация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обязана своевременно предоставить получателю достоверную информацию о государственной услуге, ознакомить с правилами и условиями получения государственной услуги. В состав информации о государственной услуге должны быть включены: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настоящий Стандарт;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наименование федеральных государственных стандартов высшего образования, обучение по которым ведется в образовательной организации;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об условиях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влияния получателей государственной услуги на качество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сведения о средствах коммуникации получателей государственной услуги с работниками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возможности оценки качества государственной услуги со стороны получателя;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информация о предоставлении платных услуг с указанием размера стоимости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правила и условия эффективного и безопасного предоставления государственной услуги;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гарантийные обязательства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9.8. Способ и порядок предоставления информации определяются в соответствии с законодательств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Российской Федерации.</w:t>
      </w:r>
      <w:bookmarkEnd w:id="25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X.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государственной услуги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bookmarkStart w:id="27" w:name="sub_1101"/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10.1. Основаниями для отказа в предоставлении государственной услуги являются:</w:t>
      </w:r>
      <w:bookmarkEnd w:id="27"/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отсутствие одного или нескольких документов, приведенных в перечне документов, необходимых для получения государственной услуги, согласно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разделу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III настоящего Стандарта;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получение по результатам вступительных испытани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результата ниже установленного минимального количества баллов, подтверждающего успешное прохождение вступительных испытаний;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неявка без уважительной причины на вступительные испытания;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наличие медицинских противопоказаний.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10.2. Основаниями для прекращения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предоставления государственной услуги являются: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образовательную организацию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инициативе образовательной организации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ление в образовательную организацию;</w:t>
      </w:r>
      <w:r/>
    </w:p>
    <w:p>
      <w:pPr>
        <w:ind w:firstLine="720"/>
        <w:jc w:val="both"/>
        <w:spacing w:after="0" w:line="240" w:lineRule="auto"/>
        <w:widowControl w:val="o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обстоятельствам, не зависящим от воли обучающегося или родителей (законных представителей) несовершеннолетнего обучающегося и образовательной организации, в том числе в случае ликвидации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10.3. Порядок отчисления обучающихся определяется уставом образовательной организации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sz w:val="20"/>
          <w:szCs w:val="28"/>
          <w:lang w:eastAsia="ru-RU"/>
        </w:rPr>
      </w:pPr>
      <w:r>
        <w:rPr>
          <w:rFonts w:ascii="Times New Roman" w:hAnsi="Times New Roman" w:eastAsia="Times New Roman"/>
          <w:sz w:val="20"/>
          <w:szCs w:val="28"/>
          <w:lang w:eastAsia="ru-RU"/>
        </w:rPr>
      </w:r>
      <w:r>
        <w:rPr>
          <w:rFonts w:ascii="Times New Roman" w:hAnsi="Times New Roman" w:eastAsia="Times New Roman"/>
          <w:sz w:val="20"/>
          <w:szCs w:val="28"/>
          <w:lang w:eastAsia="ru-RU"/>
        </w:rPr>
      </w:r>
      <w:r>
        <w:rPr>
          <w:rFonts w:ascii="Times New Roman" w:hAnsi="Times New Roman" w:eastAsia="Times New Roman"/>
          <w:sz w:val="20"/>
          <w:szCs w:val="28"/>
          <w:lang w:eastAsia="ru-RU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both"/>
        <w:rPr>
          <w:rFonts w:ascii="Times New Roman" w:hAnsi="Times New Roman" w:cs="Times New Roman"/>
          <w:color w:val="ff0000"/>
          <w:sz w:val="28"/>
          <w:szCs w:val="28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134" w:header="567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</w:t>
      </w:r>
      <w:r>
        <w:rPr>
          <w:rFonts w:ascii="Times New Roman" w:hAnsi="Times New Roman" w:cs="Times New Roman"/>
          <w:b/>
          <w:sz w:val="28"/>
          <w:szCs w:val="28"/>
        </w:rPr>
        <w:t xml:space="preserve">. Описание результата предоставления государственной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Результат предоставления государственной услуги оценивается следующими индикаторами качества предоставления государственной услуги: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tbl>
      <w:tblPr>
        <w:tblStyle w:val="884"/>
        <w:tblW w:w="4780" w:type="pct"/>
        <w:jc w:val="center"/>
        <w:tblLayout w:type="fixed"/>
        <w:tblLook w:val="04A0" w:firstRow="1" w:lastRow="0" w:firstColumn="1" w:lastColumn="0" w:noHBand="0" w:noVBand="1"/>
      </w:tblPr>
      <w:tblGrid>
        <w:gridCol w:w="3051"/>
        <w:gridCol w:w="1607"/>
        <w:gridCol w:w="4090"/>
        <w:gridCol w:w="1750"/>
        <w:gridCol w:w="1625"/>
        <w:gridCol w:w="2348"/>
      </w:tblGrid>
      <w:tr>
        <w:tblPrEx/>
        <w:trPr>
          <w:cantSplit/>
          <w:jc w:val="center"/>
          <w:trHeight w:val="964"/>
        </w:trPr>
        <w:tc>
          <w:tcPr>
            <w:tcW w:w="3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Наименование показателя оценки качества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Единица измерения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0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Формула расчета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7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Весовой коэффициент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16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Пороговое значение</w:t>
            </w:r>
            <w:r>
              <w:rPr>
                <w:rFonts w:ascii="Times New Roman" w:hAnsi="Times New Roman" w:eastAsiaTheme="minorHAns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показателя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Источник информации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trHeight w:val="72"/>
        </w:trPr>
        <w:tc>
          <w:tcPr>
            <w:tcW w:w="30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09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7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16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5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ffffff" w:fill="ffffff"/>
            <w:tcW w:w="234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cantSplit/>
          <w:jc w:val="center"/>
          <w:trHeight w:val="1134"/>
        </w:trPr>
        <w:tc>
          <w:tcPr>
            <w:tcW w:w="3051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1. Доля выпускников, получивших </w:t>
            </w:r>
            <w:r>
              <w:rPr>
                <w:rFonts w:ascii="Times New Roman" w:hAnsi="Times New Roman" w:eastAsia="Times New Roman"/>
              </w:rPr>
              <w:t xml:space="preserve">заключение и свидетельство об окончании аспирантуры (адъюнктуры)</w:t>
            </w:r>
            <w:r>
              <w:rPr>
                <w:rFonts w:ascii="Times New Roman" w:hAnsi="Times New Roman" w:eastAsia="Times New Roman"/>
              </w:rPr>
              <w:t xml:space="preserve">, в общей численности выпускников по </w:t>
            </w:r>
            <w:r>
              <w:rPr>
                <w:rFonts w:ascii="Times New Roman" w:hAnsi="Times New Roman" w:eastAsia="Times New Roman"/>
              </w:rPr>
              <w:t xml:space="preserve">программам подготовки научных и научно-педагогических кадров в аспирантуре (адъюнктуре)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090" w:type="dxa"/>
            <w:textDirection w:val="lrTb"/>
            <w:noWrap w:val="false"/>
          </w:tcPr>
          <w:p>
            <w:pPr>
              <w:ind w:firstLine="3"/>
              <w:rPr>
                <w:rFonts w:ascii="Times New Roman" w:hAnsi="Times New Roman" w:eastAsia="Times New Roman"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В</m:t>
                        </m:r>
                      </m:e>
                      <m:sub>
                        <m:r>
                          <w:rPr>
                            <w:rFonts w:ascii="Times New Roman" w:hAnsi="Times New Roman"/>
                          </w:rPr>
                          <m:rPr>
                            <m:nor m:val="on"/>
                          </m:rPr>
                          <m:t>д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 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</m:t>
                </m:r>
              </m:oMath>
            </m:oMathPara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       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В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  <m:r>
                <w:rPr>
                  <w:rFonts w:ascii="Cambria Math" w:hAnsi="Cambria Math" w:eastAsia="Times New Roman"/>
                </w:rPr>
                <m:rPr/>
                <m:t> </m:t>
              </m:r>
            </m:oMath>
            <w:r>
              <w:rPr>
                <w:rFonts w:ascii="Times New Roman" w:hAnsi="Times New Roman" w:eastAsia="Times New Roman"/>
              </w:rPr>
              <w:t xml:space="preserve"> – число выпускников образовательной организации</w:t>
            </w:r>
            <w:r>
              <w:rPr>
                <w:rFonts w:ascii="Times New Roman" w:hAnsi="Times New Roman" w:eastAsia="Times New Roman"/>
              </w:rPr>
              <w:t xml:space="preserve"> по </w:t>
            </w:r>
            <w:r>
              <w:rPr>
                <w:rFonts w:ascii="Times New Roman" w:hAnsi="Times New Roman" w:eastAsia="Times New Roman"/>
              </w:rPr>
              <w:t xml:space="preserve">программам подготовки научных и научно-педагогических кадров в аспирантуре (адъюнктуре)</w:t>
            </w:r>
            <w:r>
              <w:rPr>
                <w:rFonts w:ascii="Times New Roman" w:hAnsi="Times New Roman" w:eastAsia="Times New Roman"/>
              </w:rPr>
              <w:t xml:space="preserve">, получивших </w:t>
            </w:r>
            <w:r>
              <w:rPr>
                <w:rFonts w:ascii="Times New Roman" w:hAnsi="Times New Roman" w:eastAsia="Times New Roman"/>
              </w:rPr>
              <w:t xml:space="preserve">заключение и свидетельство об окончании аспирантуры (адъюнктуры)</w:t>
            </w:r>
            <w:r>
              <w:rPr>
                <w:rFonts w:ascii="Times New Roman" w:hAnsi="Times New Roman" w:eastAsia="Times New Roman"/>
              </w:rPr>
              <w:t xml:space="preserve">;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общая численность выпускников по программам </w:t>
            </w:r>
            <w:r>
              <w:rPr>
                <w:rFonts w:ascii="Times New Roman" w:hAnsi="Times New Roman" w:eastAsia="Times New Roman"/>
              </w:rPr>
              <w:t xml:space="preserve">подготовки </w:t>
            </w:r>
            <w:r>
              <w:rPr>
                <w:rFonts w:ascii="Times New Roman" w:hAnsi="Times New Roman" w:eastAsia="Times New Roman"/>
              </w:rPr>
              <w:t xml:space="preserve">научных и научно-педагогических кадров в аспирантуре (адъюнктуре)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0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25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100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форма федерального статистического наблюдения №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1-НК (годовая) «Сведения о работе аспирантуры и докторантуры»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.08.2018 № 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87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</w:trPr>
        <w:tc>
          <w:tcPr>
            <w:tcW w:w="3051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2</w:t>
            </w:r>
            <w:r>
              <w:rPr>
                <w:rFonts w:ascii="Times New Roman" w:hAnsi="Times New Roman" w:eastAsia="Times New Roman"/>
              </w:rPr>
              <w:t xml:space="preserve">. Доля получателей </w:t>
            </w:r>
            <w:r>
              <w:rPr>
                <w:rFonts w:ascii="Times New Roman" w:hAnsi="Times New Roman" w:eastAsia="Times New Roman"/>
              </w:rPr>
              <w:t xml:space="preserve">государст</w:t>
            </w:r>
            <w:r>
              <w:rPr>
                <w:rFonts w:ascii="Times New Roman" w:hAnsi="Times New Roman" w:eastAsia="Times New Roman"/>
              </w:rPr>
              <w:t xml:space="preserve">венной услуги, удовлетворенных качеством и доступностью услуги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40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i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к</m:t>
                            </m:r>
                          </m:sub>
                        </m:s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+ 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О</m:t>
                            </m:r>
                          </m:e>
                          <m:sub>
                            <m:r>
                              <w:rPr>
                                <w:rFonts w:ascii="Times New Roman" w:hAnsi="Times New Roman" w:eastAsia="Times New Roman"/>
                              </w:rPr>
                              <m:rPr>
                                <m:nor m:val="on"/>
                              </m:rPr>
                              <m:t>д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2</m:t>
                        </m:r>
                      </m:den>
                    </m:f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общ</m:t>
                        </m:r>
                      </m:sub>
                    </m:sSub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 </m:t>
                </m:r>
              </m:oMath>
            </m:oMathPara>
            <w:r>
              <w:rPr>
                <w:rFonts w:ascii="Times New Roman" w:hAnsi="Times New Roman" w:eastAsia="Times New Roman"/>
                <w:i/>
              </w:rPr>
            </w:r>
            <w:r>
              <w:rPr>
                <w:rFonts w:ascii="Times New Roman" w:hAnsi="Times New Roman" w:eastAsia="Times New Roman"/>
                <w:i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к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качеством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д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опрошенных, удовлетворенных доступностью услуг;</w:t>
            </w:r>
            <w:r>
              <w:rPr>
                <w:rFonts w:ascii="Times New Roman" w:hAnsi="Times New Roman" w:eastAsia="Times New Roman"/>
              </w:rPr>
              <w:br/>
            </w:r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общ</m:t>
                  </m:r>
                </m:sub>
              </m:sSub>
              <m:r>
                <w:rPr>
                  <w:rFonts w:ascii="Cambria Math" w:hAnsi="Cambria Math" w:eastAsia="Times New Roman"/>
                </w:rPr>
                <m:rPr/>
                <m:t> –</m:t>
              </m:r>
            </m:oMath>
            <w:r>
              <w:rPr>
                <w:rFonts w:ascii="Times New Roman" w:hAnsi="Times New Roman" w:eastAsia="Times New Roman"/>
              </w:rPr>
              <w:t xml:space="preserve"> общее число опрошенных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0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25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пределяется по результатам опросов обучающихся, их родителей (законных представителей) и работодателей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</w:trPr>
        <w:tc>
          <w:tcPr>
            <w:tcW w:w="3051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3</w:t>
            </w:r>
            <w:r>
              <w:rPr>
                <w:rFonts w:ascii="Times New Roman" w:hAnsi="Times New Roman" w:eastAsia="Times New Roman"/>
              </w:rPr>
              <w:t xml:space="preserve">. Доля обоснованных жалоб получателей государственной </w:t>
            </w:r>
            <w:r>
              <w:rPr>
                <w:rFonts w:ascii="Times New Roman" w:hAnsi="Times New Roman" w:eastAsia="Times New Roman"/>
              </w:rPr>
              <w:t xml:space="preserve">услу</w:t>
            </w:r>
            <w:r>
              <w:rPr>
                <w:rFonts w:ascii="Times New Roman" w:hAnsi="Times New Roman" w:eastAsia="Times New Roman"/>
              </w:rPr>
              <w:t xml:space="preserve">ги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090" w:type="dxa"/>
            <w:textDirection w:val="lrTb"/>
            <w:noWrap w:val="false"/>
          </w:tcPr>
          <w:p>
            <w:pPr>
              <w:ind w:firstLine="32"/>
              <w:rPr>
                <w:rFonts w:ascii="Times New Roman" w:hAnsi="Times New Roman" w:eastAsia="Times New Roman"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/>
                          <m:t>Ж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/>
                          <m:t>о</m:t>
                        </m:r>
                      </m:sub>
                    </m:sSub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Ж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</m:t>
                </m:r>
              </m:oMath>
            </m:oMathPara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Times New Roman"/>
                      <w:i/>
                    </w:rPr>
                  </m:ctrlPr>
                </m:sSubPr>
                <m:e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Ж</m:t>
                  </m:r>
                </m:e>
                <m:sub>
                  <m:r>
                    <w:rPr>
                      <w:rFonts w:ascii="Times New Roman" w:hAnsi="Times New Roman" w:eastAsia="Times New Roman"/>
                    </w:rPr>
                    <m:rPr>
                      <m:nor m:val="on"/>
                    </m:rPr>
                    <m:t>о</m:t>
                  </m:r>
                </m:sub>
              </m:sSub>
            </m:oMath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число обоснованных жалоб получателей государственной услуги, поступивших в отчетный период;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Ж </w:t>
            </w:r>
            <w:r>
              <w:rPr>
                <w:rFonts w:ascii="Times New Roman" w:hAnsi="Times New Roman" w:eastAsia="Times New Roman"/>
              </w:rPr>
              <w:t xml:space="preserve">–</w:t>
            </w:r>
            <w:r>
              <w:rPr>
                <w:rFonts w:ascii="Times New Roman" w:hAnsi="Times New Roman" w:eastAsia="Times New Roman"/>
              </w:rPr>
              <w:t xml:space="preserve"> общее число жалоб получателей государственной услуги, поступивших в отчетный период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0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25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определяется на основании анализа жалоб, поступивших в виде писем по почте либо электронной почте, и сведений о принятых по ним мерах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  <w:trHeight w:val="703"/>
        </w:trPr>
        <w:tc>
          <w:tcPr>
            <w:tcW w:w="3051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  <w:t xml:space="preserve">. Доля профессорско-преподавательского состава (далее – ППС) с учеными степенями и званиями, </w:t>
            </w:r>
            <w:r>
              <w:rPr>
                <w:rFonts w:ascii="Times New Roman" w:hAnsi="Times New Roman" w:eastAsia="Times New Roman"/>
              </w:rPr>
              <w:t xml:space="preserve">работающего в образовательной организации</w:t>
            </w:r>
            <w:r>
              <w:rPr>
                <w:rFonts w:ascii="Times New Roman" w:hAnsi="Times New Roman" w:eastAsia="Times New Roman"/>
              </w:rPr>
              <w:t xml:space="preserve"> на штатной основе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090" w:type="dxa"/>
            <w:textDirection w:val="lrTb"/>
            <w:noWrap w:val="false"/>
          </w:tcPr>
          <w:p>
            <w:pPr>
              <w:ind w:firstLine="32"/>
              <w:rPr>
                <w:rFonts w:ascii="Times New Roman" w:hAnsi="Times New Roman" w:eastAsia="Times New Roman"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r>
                      <w:rPr>
                        <w:rFonts w:ascii="Cambria Math" w:hAnsi="Cambria Math" w:eastAsia="Times New Roman"/>
                      </w:rPr>
                      <m:rPr/>
                      <m:t>А</m:t>
                    </m:r>
                  </m:num>
                  <m:den>
                    <m:r>
                      <w:rPr>
                        <w:rFonts w:ascii="Times New Roman" w:hAnsi="Times New Roman" w:eastAsia="Times New Roman"/>
                      </w:rPr>
                      <m:rPr>
                        <m:nor m:val="on"/>
                      </m:rPr>
                      <m:t>В</m:t>
                    </m:r>
                  </m:den>
                </m:f>
                <m:r>
                  <w:rPr>
                    <w:rFonts w:ascii="Cambria Math" w:hAnsi="Times New Roman"/>
                    <w:color w:val="000000"/>
                  </w:rPr>
                  <m:rPr>
                    <m:nor m:val="on"/>
                  </m:rPr>
                  <m:t> </m:t>
                </m:r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</m:t>
                </m:r>
              </m:oMath>
            </m:oMathPara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6"/>
              </w:rPr>
            </w:pP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  <w:r>
              <w:rPr>
                <w:rFonts w:ascii="Times New Roman" w:hAnsi="Times New Roman" w:eastAsia="Times New Roman"/>
                <w:sz w:val="16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</w:t>
            </w:r>
            <w:r>
              <w:rPr>
                <w:rFonts w:ascii="Times New Roman" w:hAnsi="Times New Roman" w:eastAsia="Times New Roman"/>
              </w:rPr>
              <w:br/>
              <w:t xml:space="preserve"> А – число ППС с учеными степенями и званиями, работающего на штатной основе;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общее количество ППС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0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4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25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форма федерального статистического наблюдения №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1-НК (годовая) «Сведения о работе аспирантуры и докторантуры»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.08.2018 № 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87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</w:tr>
      <w:tr>
        <w:tblPrEx/>
        <w:trPr>
          <w:jc w:val="center"/>
          <w:trHeight w:val="420"/>
        </w:trPr>
        <w:tc>
          <w:tcPr>
            <w:shd w:val="clear" w:color="auto" w:fill="auto"/>
            <w:tcW w:w="3051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5</w:t>
            </w:r>
            <w:r>
              <w:rPr>
                <w:rFonts w:ascii="Times New Roman" w:hAnsi="Times New Roman" w:eastAsia="Times New Roman"/>
              </w:rPr>
              <w:t xml:space="preserve">. </w:t>
            </w:r>
            <w:r>
              <w:rPr>
                <w:rFonts w:ascii="Times New Roman" w:hAnsi="Times New Roman" w:eastAsia="Times New Roman"/>
              </w:rPr>
              <w:t xml:space="preserve">Доля получателей государственной услуги, освоивших программу подготовки научных и научно-педагогических кадров в аспирантуре (адъюнктуре) и защитивших диссертации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4090" w:type="dxa"/>
            <w:textDirection w:val="lrTb"/>
            <w:noWrap w:val="false"/>
          </w:tcPr>
          <w:p>
            <w:pPr>
              <w:ind w:firstLine="32"/>
              <w:rPr>
                <w:rFonts w:ascii="Times New Roman" w:hAnsi="Times New Roman" w:eastAsia="Times New Roman"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А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eastAsia="Times New Roman"/>
                          </w:rPr>
                        </m:ctrlPr>
                      </m:d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В</m:t>
                        </m:r>
                      </m:e>
                    </m:d>
                  </m:den>
                </m:f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 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</m:t>
                </m:r>
              </m:oMath>
            </m:oMathPara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4"/>
              </w:rPr>
            </w:pPr>
            <w:r>
              <w:rPr>
                <w:rFonts w:ascii="Times New Roman" w:hAnsi="Times New Roman" w:eastAsia="Times New Roman"/>
                <w:sz w:val="14"/>
              </w:rPr>
            </w:r>
            <w:r>
              <w:rPr>
                <w:rFonts w:ascii="Times New Roman" w:hAnsi="Times New Roman" w:eastAsia="Times New Roman"/>
                <w:sz w:val="14"/>
              </w:rPr>
            </w:r>
            <w:r>
              <w:rPr>
                <w:rFonts w:ascii="Times New Roman" w:hAnsi="Times New Roman" w:eastAsia="Times New Roman"/>
                <w:sz w:val="14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       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А</w:t>
            </w:r>
            <w:r>
              <w:rPr>
                <w:rFonts w:ascii="Times New Roman" w:hAnsi="Times New Roman" w:eastAsia="Times New Roman"/>
              </w:rPr>
              <w:t xml:space="preserve"> – </w:t>
            </w:r>
            <w:r>
              <w:rPr>
                <w:rFonts w:ascii="Times New Roman" w:hAnsi="Times New Roman" w:eastAsia="Times New Roman"/>
              </w:rPr>
              <w:t xml:space="preserve">число </w:t>
            </w:r>
            <w:r>
              <w:rPr>
                <w:rFonts w:ascii="Times New Roman" w:hAnsi="Times New Roman" w:eastAsia="Times New Roman"/>
              </w:rPr>
              <w:t xml:space="preserve">получателей государственной услуги, освоивших программу подготовки научных и научно-педагогических кадров в аспирантуре (адъюнктуре) и защитивших диссертации</w:t>
            </w:r>
            <w:r>
              <w:rPr>
                <w:rFonts w:ascii="Times New Roman" w:hAnsi="Times New Roman" w:eastAsia="Times New Roman"/>
              </w:rPr>
              <w:t xml:space="preserve">;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общее </w:t>
            </w:r>
            <w:r>
              <w:rPr>
                <w:rFonts w:ascii="Times New Roman" w:hAnsi="Times New Roman" w:eastAsia="Times New Roman"/>
              </w:rPr>
              <w:t xml:space="preserve">количество </w:t>
            </w:r>
            <w:r>
              <w:rPr>
                <w:rFonts w:ascii="Times New Roman" w:hAnsi="Times New Roman" w:eastAsia="Times New Roman"/>
              </w:rPr>
              <w:t xml:space="preserve">получателей государственной услуги, освоивших программу подготовки научных и научно-педагогических кадров в аспирантуре (адъюнктуре)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0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25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7</w:t>
            </w:r>
            <w:r>
              <w:rPr>
                <w:rFonts w:ascii="Times New Roman" w:hAnsi="Times New Roman" w:eastAsia="Times New Roman"/>
              </w:rPr>
              <w:t xml:space="preserve">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pStyle w:val="716"/>
              <w:jc w:val="both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форма федерального статистического наблюдения №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1-НК (годовая) «Сведения о работе аспирантуры и докторантуры»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(утверждена приказом Федеральной службы государственной статистики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06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white"/>
              </w:rPr>
              <w:t xml:space="preserve">.08.2018 № 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  <w:t xml:space="preserve">87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  <w:tr>
        <w:tblPrEx/>
        <w:trPr>
          <w:jc w:val="center"/>
          <w:trHeight w:val="420"/>
        </w:trPr>
        <w:tc>
          <w:tcPr>
            <w:shd w:val="clear" w:color="auto" w:fill="auto"/>
            <w:tcW w:w="3051" w:type="dxa"/>
            <w:textDirection w:val="lrTb"/>
            <w:noWrap w:val="false"/>
          </w:tcPr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6</w:t>
            </w:r>
            <w:r>
              <w:rPr>
                <w:rFonts w:ascii="Times New Roman" w:hAnsi="Times New Roman" w:eastAsia="Times New Roman"/>
              </w:rPr>
              <w:t xml:space="preserve">. </w:t>
            </w:r>
            <w:r>
              <w:rPr>
                <w:rFonts w:ascii="Times New Roman" w:hAnsi="Times New Roman" w:eastAsia="Times New Roman"/>
              </w:rPr>
              <w:t xml:space="preserve">Доля </w:t>
            </w:r>
            <w:r>
              <w:rPr>
                <w:rFonts w:ascii="Times New Roman" w:hAnsi="Times New Roman" w:eastAsia="Times New Roman"/>
              </w:rPr>
              <w:t xml:space="preserve">получателей государственной услуги</w:t>
            </w:r>
            <w:r>
              <w:rPr>
                <w:rFonts w:ascii="Times New Roman" w:hAnsi="Times New Roman" w:eastAsia="Times New Roman"/>
              </w:rPr>
              <w:t xml:space="preserve">, продолживших научную деятельность после получения ученой степени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07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процентов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shd w:val="clear" w:color="auto" w:fill="auto"/>
            <w:tcW w:w="4090" w:type="dxa"/>
            <w:textDirection w:val="lrTb"/>
            <w:noWrap w:val="false"/>
          </w:tcPr>
          <w:p>
            <w:pPr>
              <w:ind w:firstLine="32"/>
              <w:rPr>
                <w:rFonts w:ascii="Times New Roman" w:hAnsi="Times New Roman" w:eastAsia="Times New Roman"/>
              </w:rPr>
            </w:pPr>
            <w:r/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eastAsia="Times New Roman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eastAsia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А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eastAsia="Times New Roman"/>
                          </w:rPr>
                        </m:ctrlPr>
                      </m:dPr>
                      <m:e>
                        <m:r>
                          <w:rPr>
                            <w:rFonts w:ascii="Times New Roman" w:hAnsi="Times New Roman" w:eastAsia="Times New Roman"/>
                          </w:rPr>
                          <m:rPr>
                            <m:nor m:val="on"/>
                          </m:rPr>
                          <m:t>В</m:t>
                        </m:r>
                      </m:e>
                    </m:d>
                  </m:den>
                </m:f>
                <m:r>
                  <w:rPr>
                    <w:rFonts w:ascii="Times New Roman" w:hAnsi="Times New Roman"/>
                    <w:color w:val="000000"/>
                  </w:rPr>
                  <m:rPr>
                    <m:nor m:val="on"/>
                  </m:rPr>
                  <m:t> × 100%</m:t>
                </m:r>
                <m:r>
                  <w:rPr>
                    <w:rFonts w:ascii="Times New Roman" w:hAnsi="Times New Roman" w:eastAsia="Times New Roman"/>
                  </w:rPr>
                  <m:rPr>
                    <m:nor m:val="on"/>
                  </m:rPr>
                  <m:t>,</m:t>
                </m:r>
              </m:oMath>
            </m:oMathPara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  <w:sz w:val="14"/>
              </w:rPr>
            </w:pPr>
            <w:r>
              <w:rPr>
                <w:rFonts w:ascii="Times New Roman" w:hAnsi="Times New Roman" w:eastAsia="Times New Roman"/>
                <w:sz w:val="14"/>
              </w:rPr>
            </w:r>
            <w:r>
              <w:rPr>
                <w:rFonts w:ascii="Times New Roman" w:hAnsi="Times New Roman" w:eastAsia="Times New Roman"/>
                <w:sz w:val="14"/>
              </w:rPr>
            </w:r>
            <w:r>
              <w:rPr>
                <w:rFonts w:ascii="Times New Roman" w:hAnsi="Times New Roman" w:eastAsia="Times New Roman"/>
                <w:sz w:val="14"/>
              </w:rPr>
            </w:r>
          </w:p>
          <w:p>
            <w:pPr>
              <w:ind w:firstLine="32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где:       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А</w:t>
            </w:r>
            <w:r>
              <w:rPr>
                <w:rFonts w:ascii="Times New Roman" w:hAnsi="Times New Roman" w:eastAsia="Times New Roman"/>
              </w:rPr>
              <w:t xml:space="preserve"> – число </w:t>
            </w:r>
            <w:r>
              <w:rPr>
                <w:rFonts w:ascii="Times New Roman" w:hAnsi="Times New Roman" w:eastAsia="Times New Roman"/>
              </w:rPr>
              <w:t xml:space="preserve">получателей государственной услуги</w:t>
            </w:r>
            <w:r>
              <w:rPr>
                <w:rFonts w:ascii="Times New Roman" w:hAnsi="Times New Roman" w:eastAsia="Times New Roman"/>
              </w:rPr>
              <w:t xml:space="preserve">, продолживших научную деятельность после получения ученой степени</w:t>
            </w:r>
            <w:r>
              <w:rPr>
                <w:rFonts w:ascii="Times New Roman" w:hAnsi="Times New Roman" w:eastAsia="Times New Roman"/>
              </w:rPr>
              <w:t xml:space="preserve">;             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ind w:firstLine="32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В – </w:t>
            </w:r>
            <w:r>
              <w:rPr>
                <w:rFonts w:ascii="Times New Roman" w:hAnsi="Times New Roman" w:eastAsia="Times New Roman"/>
              </w:rPr>
              <w:t xml:space="preserve">общее количество </w:t>
            </w:r>
            <w:r>
              <w:rPr>
                <w:rFonts w:ascii="Times New Roman" w:hAnsi="Times New Roman" w:eastAsia="Times New Roman"/>
              </w:rPr>
              <w:t xml:space="preserve">получателей государственной услуги</w:t>
            </w:r>
            <w:r>
              <w:rPr>
                <w:rFonts w:ascii="Times New Roman" w:hAnsi="Times New Roman" w:eastAsia="Times New Roman"/>
              </w:rPr>
              <w:t xml:space="preserve">, получивших ученые степени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750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9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1625" w:type="dxa"/>
            <w:textDirection w:val="lrTb"/>
            <w:noWrap w:val="false"/>
          </w:tcPr>
          <w:p>
            <w:pPr>
              <w:ind w:firstLine="32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1</w:t>
            </w:r>
            <w:r>
              <w:rPr>
                <w:rFonts w:ascii="Times New Roman" w:hAnsi="Times New Roman" w:eastAsia="Times New Roman"/>
              </w:rPr>
              <w:t xml:space="preserve">0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 xml:space="preserve">о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пределяется по результатам опросов обучающихся, их родителей (законных представителей)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  <w:p>
            <w:pPr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</w:p>
        </w:tc>
      </w:tr>
    </w:tbl>
    <w:p>
      <w:pPr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rPr>
          <w:color w:val="ff0000"/>
          <w:lang w:eastAsia="ru-RU"/>
        </w:rPr>
        <w:sectPr>
          <w:footnotePr/>
          <w:endnotePr/>
          <w:type w:val="nextPage"/>
          <w:pgSz w:w="16838" w:h="11906" w:orient="landscape"/>
          <w:pgMar w:top="1134" w:right="567" w:bottom="1021" w:left="1134" w:header="709" w:footer="709" w:gutter="0"/>
          <w:cols w:num="1" w:sep="0" w:space="708" w:equalWidth="1"/>
          <w:docGrid w:linePitch="360"/>
        </w:sectPr>
      </w:pPr>
      <w:r>
        <w:rPr>
          <w:color w:val="ff0000"/>
          <w:lang w:eastAsia="ru-RU"/>
        </w:rPr>
      </w:r>
      <w:r>
        <w:rPr>
          <w:color w:val="ff0000"/>
          <w:lang w:eastAsia="ru-RU"/>
        </w:rPr>
      </w:r>
      <w:r>
        <w:rPr>
          <w:color w:val="ff0000"/>
          <w:lang w:eastAsia="ru-RU"/>
        </w:rPr>
      </w:r>
    </w:p>
    <w:p>
      <w:pPr>
        <w:pStyle w:val="8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</w:t>
      </w:r>
      <w:r>
        <w:rPr>
          <w:rFonts w:ascii="Times New Roman" w:hAnsi="Times New Roman" w:cs="Times New Roman"/>
          <w:b/>
          <w:sz w:val="28"/>
          <w:szCs w:val="28"/>
        </w:rPr>
        <w:t xml:space="preserve">. Порядок подачи, регистрации и рассмотрения жалоб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несоблюдение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Стандарта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12.1. Жалоба на нарушение порядка предоставления государственной услуги (далее – жалоба) подается в письменной форме на бумажном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носителе или в электронной форме в образовательную организацию. Жалобы на решения и действия (бездействие) руководителя образовательной организации подаются </w:t>
      </w:r>
      <w:r>
        <w:rPr>
          <w:rFonts w:ascii="Times New Roman" w:hAnsi="Times New Roman"/>
          <w:sz w:val="28"/>
          <w:szCs w:val="28"/>
        </w:rPr>
        <w:t xml:space="preserve">получателем государственной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в Министерство образования и науки Республики Татарстан.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12.2. Жалоба на решения и действия (бездействие) образовательной организации, руководителя образовательной организации, работника образовательной орг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анизации может быть направлена по почте, с использованием информационно-телекоммуникационной сети «Интернет», официального сайта образовательной организации, официального сайта Министерства образования и науки Рес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публики Татарстан, единого портала государственных услуг Российской Федерации (www.gosuslugi.ru), либо портала государственных услуг Республики Татарстан (uslugi.tatarstan.ru), а также может быть принята при личном приеме получателя государственной услуги.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12.3. Жалоба должна отвечать требованиям, установленным законодательством.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12.4. Жалоба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образовательной организации, долж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ностного лица образовательной организации в приеме документов у получателя услуги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12.5. По результатам рассмотрения жалобы в соответствии с законодательством при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нимается решение и не позднее дня, следующего за днем его принятия, получателю государственной услуги в письменной форме и по желанию получателя государственной услуги в электронной форме направляется мотивированный ответ о результатах рассмотрения жалобы.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12.6. В случае признания жалобы, подлежащей удовлетворению, в ответе получателю государственной услуги дается информация о действиях, осуществляемых образовательной организацией, в целях незамедлительного устранения выявленных наруше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ний при предоставлении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получателю государственной услуги в целях получения государственной услуги.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12.7. В случае признания жалобы не подлежащей удовлетворению в ответе получателю государственной услуги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12.8. В случае удовле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творения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12.9. Получатель государстве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нной услуги вправе обжаловать решения и действия (бездействие) должностных лиц образовательных организаций, связанные с предоставлением государственной услуги, в судебном порядке в соответствии с законодательством Российской Федерации.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Порядок контроля за предоставлением государственной услуги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 стороны органов государственной власти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7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13.1. Контроль за соблюдением 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независимо от ее организационно-правовой формы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лицензией </w:t>
      </w:r>
      <w:r>
        <w:rPr>
          <w:rFonts w:ascii="Times New Roman" w:hAnsi="Times New Roman" w:cs="Times New Roman"/>
          <w:sz w:val="28"/>
          <w:szCs w:val="28"/>
        </w:rPr>
        <w:t xml:space="preserve">условий </w:t>
      </w: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орган управления образованием, выдавший лицензию. В случае нарушения этих условий лицензия подлежит изъятию.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13.2.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аттестационная служба может направить образовательной организации, </w:t>
      </w:r>
      <w:r>
        <w:rPr>
          <w:rFonts w:ascii="Times New Roman" w:hAnsi="Times New Roman" w:cs="Times New Roman"/>
          <w:sz w:val="28"/>
          <w:szCs w:val="28"/>
        </w:rPr>
        <w:t xml:space="preserve">имеющей государственную аккредитацию, рекламацию на качество образования и (или) несоответствие образования требованиям соответствующего федерального государственного образовательного стандарта высшего образования.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государственной услуги со стороны органов государственной власти осуществляется в соответствии с </w:t>
      </w:r>
      <w:hyperlink r:id="rId12" w:tooltip="consultantplus://offline/ref=5948FCC1EAA9EC899B0F1DF4E12881279662199E534A15D450CDA8942C3ABE4ADAqFM" w:history="1">
        <w:r>
          <w:rPr>
            <w:rFonts w:ascii="Times New Roman" w:hAnsi="Times New Roman" w:cs="Times New Roman"/>
            <w:sz w:val="28"/>
            <w:szCs w:val="28"/>
          </w:rPr>
          <w:t xml:space="preserve"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</w:t>
      </w:r>
      <w:r>
        <w:rPr>
          <w:rFonts w:ascii="Times New Roman" w:hAnsi="Times New Roman" w:cs="Times New Roman"/>
          <w:sz w:val="28"/>
          <w:szCs w:val="28"/>
        </w:rPr>
        <w:t xml:space="preserve">лики Татарстан от 30.06.2009 № 446 «О Порядке проведения оценки соответствия качества фактически предоставляемых государственных услуг установленным стандартам качества государственных услуг, оказываемых государственными учреждениями Республики Татарстан».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XIV</w:t>
      </w:r>
      <w:r>
        <w:rPr>
          <w:rFonts w:ascii="Times New Roman" w:hAnsi="Times New Roman" w:cs="Times New Roman"/>
          <w:b/>
          <w:sz w:val="28"/>
          <w:szCs w:val="28"/>
        </w:rPr>
        <w:t xml:space="preserve">. Информация о предоставлении государственной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плату или бесплатно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бесплатно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67450029"/>
      <w:docPartObj>
        <w:docPartGallery w:val="Page Numbers (Top of Page)"/>
        <w:docPartUnique w:val="true"/>
      </w:docPartObj>
      <w:rPr/>
    </w:sdtPr>
    <w:sdtContent>
      <w:p>
        <w:pPr>
          <w:pStyle w:val="878"/>
          <w:jc w:val="center"/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 xml:space="preserve">18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/>
      </w:p>
    </w:sdtContent>
  </w:sdt>
  <w:p>
    <w:pPr>
      <w:pStyle w:val="87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80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>
    <w:name w:val="Heading 1"/>
    <w:basedOn w:val="871"/>
    <w:next w:val="871"/>
    <w:link w:val="6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9">
    <w:name w:val="Heading 1 Char"/>
    <w:basedOn w:val="872"/>
    <w:link w:val="698"/>
    <w:uiPriority w:val="9"/>
    <w:rPr>
      <w:rFonts w:ascii="Arial" w:hAnsi="Arial" w:eastAsia="Arial" w:cs="Arial"/>
      <w:sz w:val="40"/>
      <w:szCs w:val="40"/>
    </w:rPr>
  </w:style>
  <w:style w:type="paragraph" w:styleId="700">
    <w:name w:val="Heading 2"/>
    <w:basedOn w:val="871"/>
    <w:next w:val="871"/>
    <w:link w:val="70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1">
    <w:name w:val="Heading 2 Char"/>
    <w:basedOn w:val="872"/>
    <w:link w:val="700"/>
    <w:uiPriority w:val="9"/>
    <w:rPr>
      <w:rFonts w:ascii="Arial" w:hAnsi="Arial" w:eastAsia="Arial" w:cs="Arial"/>
      <w:sz w:val="34"/>
    </w:rPr>
  </w:style>
  <w:style w:type="paragraph" w:styleId="702">
    <w:name w:val="Heading 3"/>
    <w:basedOn w:val="871"/>
    <w:next w:val="871"/>
    <w:link w:val="70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3">
    <w:name w:val="Heading 3 Char"/>
    <w:basedOn w:val="872"/>
    <w:link w:val="702"/>
    <w:uiPriority w:val="9"/>
    <w:rPr>
      <w:rFonts w:ascii="Arial" w:hAnsi="Arial" w:eastAsia="Arial" w:cs="Arial"/>
      <w:sz w:val="30"/>
      <w:szCs w:val="30"/>
    </w:rPr>
  </w:style>
  <w:style w:type="paragraph" w:styleId="704">
    <w:name w:val="Heading 4"/>
    <w:basedOn w:val="871"/>
    <w:next w:val="871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5">
    <w:name w:val="Heading 4 Char"/>
    <w:basedOn w:val="872"/>
    <w:link w:val="704"/>
    <w:uiPriority w:val="9"/>
    <w:rPr>
      <w:rFonts w:ascii="Arial" w:hAnsi="Arial" w:eastAsia="Arial" w:cs="Arial"/>
      <w:b/>
      <w:bCs/>
      <w:sz w:val="26"/>
      <w:szCs w:val="26"/>
    </w:rPr>
  </w:style>
  <w:style w:type="paragraph" w:styleId="706">
    <w:name w:val="Heading 5"/>
    <w:basedOn w:val="871"/>
    <w:next w:val="871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7">
    <w:name w:val="Heading 5 Char"/>
    <w:basedOn w:val="872"/>
    <w:link w:val="706"/>
    <w:uiPriority w:val="9"/>
    <w:rPr>
      <w:rFonts w:ascii="Arial" w:hAnsi="Arial" w:eastAsia="Arial" w:cs="Arial"/>
      <w:b/>
      <w:bCs/>
      <w:sz w:val="24"/>
      <w:szCs w:val="24"/>
    </w:rPr>
  </w:style>
  <w:style w:type="paragraph" w:styleId="708">
    <w:name w:val="Heading 6"/>
    <w:basedOn w:val="871"/>
    <w:next w:val="871"/>
    <w:link w:val="7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9">
    <w:name w:val="Heading 6 Char"/>
    <w:basedOn w:val="872"/>
    <w:link w:val="708"/>
    <w:uiPriority w:val="9"/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871"/>
    <w:next w:val="871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7 Char"/>
    <w:basedOn w:val="872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871"/>
    <w:next w:val="871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3">
    <w:name w:val="Heading 8 Char"/>
    <w:basedOn w:val="872"/>
    <w:link w:val="712"/>
    <w:uiPriority w:val="9"/>
    <w:rPr>
      <w:rFonts w:ascii="Arial" w:hAnsi="Arial" w:eastAsia="Arial" w:cs="Arial"/>
      <w:i/>
      <w:iCs/>
      <w:sz w:val="22"/>
      <w:szCs w:val="22"/>
    </w:rPr>
  </w:style>
  <w:style w:type="paragraph" w:styleId="714">
    <w:name w:val="Heading 9"/>
    <w:basedOn w:val="871"/>
    <w:next w:val="871"/>
    <w:link w:val="7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5">
    <w:name w:val="Heading 9 Char"/>
    <w:basedOn w:val="872"/>
    <w:link w:val="714"/>
    <w:uiPriority w:val="9"/>
    <w:rPr>
      <w:rFonts w:ascii="Arial" w:hAnsi="Arial" w:eastAsia="Arial" w:cs="Arial"/>
      <w:i/>
      <w:iCs/>
      <w:sz w:val="21"/>
      <w:szCs w:val="21"/>
    </w:rPr>
  </w:style>
  <w:style w:type="paragraph" w:styleId="716">
    <w:name w:val="No Spacing"/>
    <w:uiPriority w:val="1"/>
    <w:qFormat/>
    <w:pPr>
      <w:spacing w:before="0" w:after="0" w:line="240" w:lineRule="auto"/>
    </w:pPr>
  </w:style>
  <w:style w:type="paragraph" w:styleId="717">
    <w:name w:val="Title"/>
    <w:basedOn w:val="871"/>
    <w:next w:val="871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8">
    <w:name w:val="Title Char"/>
    <w:basedOn w:val="872"/>
    <w:link w:val="717"/>
    <w:uiPriority w:val="10"/>
    <w:rPr>
      <w:sz w:val="48"/>
      <w:szCs w:val="48"/>
    </w:rPr>
  </w:style>
  <w:style w:type="paragraph" w:styleId="719">
    <w:name w:val="Subtitle"/>
    <w:basedOn w:val="871"/>
    <w:next w:val="871"/>
    <w:link w:val="720"/>
    <w:uiPriority w:val="11"/>
    <w:qFormat/>
    <w:pPr>
      <w:spacing w:before="200" w:after="200"/>
    </w:pPr>
    <w:rPr>
      <w:sz w:val="24"/>
      <w:szCs w:val="24"/>
    </w:rPr>
  </w:style>
  <w:style w:type="character" w:styleId="720">
    <w:name w:val="Subtitle Char"/>
    <w:basedOn w:val="872"/>
    <w:link w:val="719"/>
    <w:uiPriority w:val="11"/>
    <w:rPr>
      <w:sz w:val="24"/>
      <w:szCs w:val="24"/>
    </w:rPr>
  </w:style>
  <w:style w:type="paragraph" w:styleId="721">
    <w:name w:val="Quote"/>
    <w:basedOn w:val="871"/>
    <w:next w:val="871"/>
    <w:link w:val="722"/>
    <w:uiPriority w:val="29"/>
    <w:qFormat/>
    <w:pPr>
      <w:ind w:left="720" w:right="720"/>
    </w:pPr>
    <w:rPr>
      <w:i/>
    </w:rPr>
  </w:style>
  <w:style w:type="character" w:styleId="722">
    <w:name w:val="Quote Char"/>
    <w:link w:val="721"/>
    <w:uiPriority w:val="29"/>
    <w:rPr>
      <w:i/>
    </w:rPr>
  </w:style>
  <w:style w:type="paragraph" w:styleId="723">
    <w:name w:val="Intense Quote"/>
    <w:basedOn w:val="871"/>
    <w:next w:val="871"/>
    <w:link w:val="72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>
    <w:name w:val="Intense Quote Char"/>
    <w:link w:val="723"/>
    <w:uiPriority w:val="30"/>
    <w:rPr>
      <w:i/>
    </w:rPr>
  </w:style>
  <w:style w:type="character" w:styleId="725">
    <w:name w:val="Header Char"/>
    <w:basedOn w:val="872"/>
    <w:link w:val="878"/>
    <w:uiPriority w:val="99"/>
  </w:style>
  <w:style w:type="character" w:styleId="726">
    <w:name w:val="Footer Char"/>
    <w:basedOn w:val="872"/>
    <w:link w:val="890"/>
    <w:uiPriority w:val="99"/>
  </w:style>
  <w:style w:type="paragraph" w:styleId="727">
    <w:name w:val="Caption"/>
    <w:basedOn w:val="871"/>
    <w:next w:val="8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8">
    <w:name w:val="Caption Char"/>
    <w:basedOn w:val="727"/>
    <w:link w:val="890"/>
    <w:uiPriority w:val="99"/>
  </w:style>
  <w:style w:type="table" w:styleId="729">
    <w:name w:val="Table Grid Light"/>
    <w:basedOn w:val="8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basedOn w:val="87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basedOn w:val="8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basedOn w:val="8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basedOn w:val="87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basedOn w:val="8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basedOn w:val="872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basedOn w:val="872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qFormat/>
    <w:rPr>
      <w:rFonts w:ascii="Calibri" w:hAnsi="Calibri" w:eastAsia="Calibri" w:cs="Times New Roman"/>
    </w:rPr>
  </w:style>
  <w:style w:type="character" w:styleId="872" w:default="1">
    <w:name w:val="Default Paragraph Font"/>
    <w:uiPriority w:val="1"/>
    <w:semiHidden/>
    <w:unhideWhenUsed/>
  </w:style>
  <w:style w:type="table" w:styleId="8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4" w:default="1">
    <w:name w:val="No List"/>
    <w:uiPriority w:val="99"/>
    <w:semiHidden/>
    <w:unhideWhenUsed/>
  </w:style>
  <w:style w:type="paragraph" w:styleId="87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6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table" w:styleId="877">
    <w:name w:val="Table Grid"/>
    <w:basedOn w:val="87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8">
    <w:name w:val="Header"/>
    <w:basedOn w:val="871"/>
    <w:link w:val="87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9" w:customStyle="1">
    <w:name w:val="Верхний колонтитул Знак"/>
    <w:basedOn w:val="872"/>
    <w:link w:val="878"/>
    <w:uiPriority w:val="99"/>
    <w:rPr>
      <w:rFonts w:ascii="Calibri" w:hAnsi="Calibri" w:eastAsia="Calibri" w:cs="Times New Roman"/>
    </w:rPr>
  </w:style>
  <w:style w:type="paragraph" w:styleId="880">
    <w:name w:val="Balloon Text"/>
    <w:basedOn w:val="871"/>
    <w:link w:val="88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1" w:customStyle="1">
    <w:name w:val="Текст выноски Знак"/>
    <w:basedOn w:val="872"/>
    <w:link w:val="880"/>
    <w:uiPriority w:val="99"/>
    <w:semiHidden/>
    <w:rPr>
      <w:rFonts w:ascii="Tahoma" w:hAnsi="Tahoma" w:eastAsia="Calibri" w:cs="Tahoma"/>
      <w:sz w:val="16"/>
      <w:szCs w:val="16"/>
    </w:rPr>
  </w:style>
  <w:style w:type="paragraph" w:styleId="882" w:customStyle="1">
    <w:name w:val="ConsPlusCell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8"/>
      <w:szCs w:val="28"/>
      <w:lang w:eastAsia="ru-RU"/>
    </w:rPr>
  </w:style>
  <w:style w:type="paragraph" w:styleId="883">
    <w:name w:val="List Paragraph"/>
    <w:basedOn w:val="871"/>
    <w:uiPriority w:val="34"/>
    <w:qFormat/>
    <w:pPr>
      <w:contextualSpacing/>
      <w:ind w:left="720"/>
    </w:pPr>
  </w:style>
  <w:style w:type="table" w:styleId="884" w:customStyle="1">
    <w:name w:val="Сетка таблицы1"/>
    <w:basedOn w:val="873"/>
    <w:next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85" w:customStyle="1">
    <w:name w:val="Нет списка1"/>
    <w:next w:val="874"/>
    <w:uiPriority w:val="99"/>
    <w:semiHidden/>
    <w:unhideWhenUsed/>
  </w:style>
  <w:style w:type="table" w:styleId="886" w:customStyle="1">
    <w:name w:val="Сетка таблицы2"/>
    <w:basedOn w:val="873"/>
    <w:next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87" w:customStyle="1">
    <w:name w:val="Сетка таблицы3"/>
    <w:basedOn w:val="873"/>
    <w:next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8">
    <w:name w:val="Hyperlink"/>
    <w:basedOn w:val="872"/>
    <w:uiPriority w:val="99"/>
    <w:unhideWhenUsed/>
    <w:rPr>
      <w:color w:val="0000ff" w:themeColor="hyperlink"/>
      <w:u w:val="single"/>
    </w:rPr>
  </w:style>
  <w:style w:type="table" w:styleId="889" w:customStyle="1">
    <w:name w:val="Сетка таблицы4"/>
    <w:basedOn w:val="873"/>
    <w:next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>
    <w:name w:val="Footer"/>
    <w:basedOn w:val="871"/>
    <w:link w:val="89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1" w:customStyle="1">
    <w:name w:val="Нижний колонтитул Знак"/>
    <w:basedOn w:val="872"/>
    <w:link w:val="890"/>
    <w:uiPriority w:val="99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consultantplus://offline/ref=DEE7102FDBEFEF8DD62882B517E893604B51F79CB393FEA70D6A5FTAKBF" TargetMode="External"/><Relationship Id="rId12" Type="http://schemas.openxmlformats.org/officeDocument/2006/relationships/hyperlink" Target="consultantplus://offline/ref=5948FCC1EAA9EC899B0F1DF4E12881279662199E534A15D450CDA8942C3ABE4ADAqF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6</cp:revision>
  <dcterms:created xsi:type="dcterms:W3CDTF">2020-04-22T12:55:00Z</dcterms:created>
  <dcterms:modified xsi:type="dcterms:W3CDTF">2025-05-07T08:19:47Z</dcterms:modified>
</cp:coreProperties>
</file>